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6" w:rsidRPr="00260FB9" w:rsidRDefault="00511786" w:rsidP="00511786">
      <w:pPr>
        <w:pBdr>
          <w:bottom w:val="dotted" w:sz="6" w:space="4" w:color="CCCCCC"/>
        </w:pBdr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9336E"/>
          <w:kern w:val="36"/>
          <w:sz w:val="32"/>
          <w:szCs w:val="32"/>
          <w:u w:val="single"/>
          <w:lang w:eastAsia="fr-FR"/>
        </w:rPr>
      </w:pPr>
      <w:r w:rsidRPr="00260FB9">
        <w:rPr>
          <w:rFonts w:ascii="Arial" w:eastAsia="Times New Roman" w:hAnsi="Arial" w:cs="Arial"/>
          <w:b/>
          <w:bCs/>
          <w:caps/>
          <w:color w:val="19336E"/>
          <w:kern w:val="36"/>
          <w:sz w:val="32"/>
          <w:szCs w:val="32"/>
          <w:u w:val="single"/>
          <w:lang w:eastAsia="fr-FR"/>
        </w:rPr>
        <w:t>LA LOI DUFLOT : LES PLAFONDS DE CALCUL FISCAL, DE LOYERS ET LES RESSOURCES DES LOCATAIRES</w:t>
      </w:r>
    </w:p>
    <w:p w:rsidR="00260FB9" w:rsidRDefault="00260FB9" w:rsidP="00511786">
      <w:pPr>
        <w:pBdr>
          <w:bottom w:val="dotted" w:sz="6" w:space="4" w:color="CCCCCC"/>
        </w:pBdr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9336E"/>
          <w:kern w:val="36"/>
          <w:sz w:val="30"/>
          <w:szCs w:val="30"/>
          <w:lang w:eastAsia="fr-FR"/>
        </w:rPr>
      </w:pPr>
    </w:p>
    <w:p w:rsidR="00260FB9" w:rsidRPr="00511786" w:rsidRDefault="00260FB9" w:rsidP="00511786">
      <w:pPr>
        <w:pBdr>
          <w:bottom w:val="dotted" w:sz="6" w:space="4" w:color="CCCCCC"/>
        </w:pBdr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9336E"/>
          <w:kern w:val="36"/>
          <w:sz w:val="30"/>
          <w:szCs w:val="30"/>
          <w:lang w:eastAsia="fr-FR"/>
        </w:rPr>
      </w:pPr>
    </w:p>
    <w:bookmarkStart w:id="0" w:name="intro"/>
    <w:bookmarkEnd w:id="0"/>
    <w:p w:rsidR="00511786" w:rsidRPr="00260FB9" w:rsidRDefault="00511786" w:rsidP="00511786">
      <w:pPr>
        <w:pBdr>
          <w:bottom w:val="dotted" w:sz="2" w:space="0" w:color="CCCCCC"/>
        </w:pBd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</w:pPr>
      <w:r w:rsidRPr="00260FB9">
        <w:rPr>
          <w:rFonts w:ascii="Arial" w:eastAsia="Times New Roman" w:hAnsi="Arial" w:cs="Arial"/>
          <w:color w:val="19336E"/>
          <w:lang w:eastAsia="fr-FR"/>
        </w:rPr>
        <w:fldChar w:fldCharType="begin"/>
      </w:r>
      <w:r w:rsidRPr="00260FB9">
        <w:rPr>
          <w:rFonts w:ascii="Arial" w:eastAsia="Times New Roman" w:hAnsi="Arial" w:cs="Arial"/>
          <w:color w:val="19336E"/>
          <w:lang w:eastAsia="fr-FR"/>
        </w:rPr>
        <w:instrText xml:space="preserve"> HYPERLINK "https://twitter.com/CecileDuflot" \t "_blank" </w:instrText>
      </w:r>
      <w:r w:rsidRPr="00260FB9">
        <w:rPr>
          <w:rFonts w:ascii="Arial" w:eastAsia="Times New Roman" w:hAnsi="Arial" w:cs="Arial"/>
          <w:color w:val="19336E"/>
          <w:lang w:eastAsia="fr-FR"/>
        </w:rPr>
        <w:fldChar w:fldCharType="separate"/>
      </w:r>
      <w:r w:rsidRPr="00260FB9">
        <w:rPr>
          <w:rFonts w:ascii="Arial" w:eastAsia="Times New Roman" w:hAnsi="Arial" w:cs="Arial"/>
          <w:color w:val="1982D1"/>
          <w:u w:val="single"/>
          <w:bdr w:val="none" w:sz="0" w:space="0" w:color="auto" w:frame="1"/>
          <w:lang w:eastAsia="fr-FR"/>
        </w:rPr>
        <w:t xml:space="preserve">Cécile </w:t>
      </w:r>
      <w:proofErr w:type="spellStart"/>
      <w:r w:rsidRPr="00260FB9">
        <w:rPr>
          <w:rFonts w:ascii="Arial" w:eastAsia="Times New Roman" w:hAnsi="Arial" w:cs="Arial"/>
          <w:color w:val="1982D1"/>
          <w:u w:val="singl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lang w:eastAsia="fr-FR"/>
        </w:rPr>
        <w:fldChar w:fldCharType="end"/>
      </w:r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, la ministre du Logement, a élaboré la nouvelle loi de défiscalisation : la </w:t>
      </w:r>
      <w:hyperlink r:id="rId6" w:tgtFrame="_blank" w:history="1">
        <w:r w:rsidRPr="00260FB9">
          <w:rPr>
            <w:rFonts w:ascii="Arial" w:eastAsia="Times New Roman" w:hAnsi="Arial" w:cs="Arial"/>
            <w:color w:val="1982D1"/>
            <w:u w:val="single"/>
            <w:bdr w:val="none" w:sz="0" w:space="0" w:color="auto" w:frame="1"/>
            <w:lang w:eastAsia="fr-FR"/>
          </w:rPr>
          <w:t xml:space="preserve">loi </w:t>
        </w:r>
        <w:proofErr w:type="spellStart"/>
        <w:r w:rsidRPr="00260FB9">
          <w:rPr>
            <w:rFonts w:ascii="Arial" w:eastAsia="Times New Roman" w:hAnsi="Arial" w:cs="Arial"/>
            <w:color w:val="1982D1"/>
            <w:u w:val="single"/>
            <w:bdr w:val="none" w:sz="0" w:space="0" w:color="auto" w:frame="1"/>
            <w:lang w:eastAsia="fr-FR"/>
          </w:rPr>
          <w:t>Duflot</w:t>
        </w:r>
        <w:proofErr w:type="spellEnd"/>
      </w:hyperlink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. Le principe consiste à octroyer une réduction d’impôt sur le revenu à tous les contribuables qui investissent un logement neuf destiné à la location. En échange  l’investisseur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 devra respecter un certain nombre de conditions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notament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 de location. L’objectif de la loi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 est de soutenir la construction de </w:t>
      </w:r>
      <w:hyperlink r:id="rId7" w:tgtFrame="_blank" w:history="1">
        <w:r w:rsidRPr="00260FB9">
          <w:rPr>
            <w:rFonts w:ascii="Arial" w:eastAsia="Times New Roman" w:hAnsi="Arial" w:cs="Arial"/>
            <w:color w:val="1982D1"/>
            <w:u w:val="single"/>
            <w:bdr w:val="none" w:sz="0" w:space="0" w:color="auto" w:frame="1"/>
            <w:lang w:eastAsia="fr-FR"/>
          </w:rPr>
          <w:t>logements neufs</w:t>
        </w:r>
      </w:hyperlink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 et développer le parc locatif de logements intermédiaires aux loyers accessibles (40 000 logements sont attendus en 2013). Les loyers des logements achetés sous la loi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 sont plafonnés en fonction de la surface du logement et des zones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. L’éligibilité des locataires est soumise à un plafonnement des ressources en fonction des zones </w:t>
      </w:r>
      <w:proofErr w:type="spellStart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>Duflot</w:t>
      </w:r>
      <w:proofErr w:type="spellEnd"/>
      <w:r w:rsidRPr="00260FB9">
        <w:rPr>
          <w:rFonts w:ascii="Arial" w:eastAsia="Times New Roman" w:hAnsi="Arial" w:cs="Arial"/>
          <w:color w:val="19336E"/>
          <w:bdr w:val="none" w:sz="0" w:space="0" w:color="auto" w:frame="1"/>
          <w:lang w:eastAsia="fr-FR"/>
        </w:rPr>
        <w:t xml:space="preserve"> et de la composition du foyer.</w:t>
      </w:r>
    </w:p>
    <w:p w:rsidR="00260FB9" w:rsidRDefault="00260FB9" w:rsidP="00511786">
      <w:pPr>
        <w:pBdr>
          <w:bottom w:val="dotted" w:sz="2" w:space="0" w:color="CCCCCC"/>
        </w:pBd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color w:val="19336E"/>
          <w:sz w:val="24"/>
          <w:szCs w:val="24"/>
          <w:bdr w:val="none" w:sz="0" w:space="0" w:color="auto" w:frame="1"/>
          <w:lang w:eastAsia="fr-FR"/>
        </w:rPr>
      </w:pPr>
    </w:p>
    <w:p w:rsidR="00260FB9" w:rsidRPr="00511786" w:rsidRDefault="00260FB9" w:rsidP="00511786">
      <w:pPr>
        <w:pBdr>
          <w:bottom w:val="dotted" w:sz="2" w:space="0" w:color="CCCCCC"/>
        </w:pBd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color w:val="19336E"/>
          <w:sz w:val="24"/>
          <w:szCs w:val="24"/>
          <w:lang w:eastAsia="fr-FR"/>
        </w:rPr>
      </w:pPr>
    </w:p>
    <w:p w:rsidR="00511786" w:rsidRPr="00511786" w:rsidRDefault="00511786" w:rsidP="00511786">
      <w:pPr>
        <w:shd w:val="clear" w:color="auto" w:fill="EEEEEE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1982D1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>
            <wp:extent cx="2861945" cy="1757680"/>
            <wp:effectExtent l="0" t="0" r="0" b="0"/>
            <wp:docPr id="4" name="Image 4" descr="  Ressources, loyers et fiscal : plafonds de la loi Duflot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Ressources, loyers et fiscal : plafonds de la loi Duflot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6" w:rsidRPr="00511786" w:rsidRDefault="00511786" w:rsidP="00511786">
      <w:pPr>
        <w:shd w:val="clear" w:color="auto" w:fill="EEEEEE"/>
        <w:spacing w:line="345" w:lineRule="atLeast"/>
        <w:textAlignment w:val="baseline"/>
        <w:rPr>
          <w:rFonts w:ascii="Georgia" w:eastAsia="Times New Roman" w:hAnsi="Georgia" w:cs="Arial"/>
          <w:color w:val="666666"/>
          <w:sz w:val="18"/>
          <w:szCs w:val="18"/>
          <w:lang w:eastAsia="fr-FR"/>
        </w:rPr>
      </w:pPr>
      <w:r w:rsidRPr="00511786">
        <w:rPr>
          <w:rFonts w:ascii="Georgia" w:eastAsia="Times New Roman" w:hAnsi="Georgia" w:cs="Arial"/>
          <w:color w:val="666666"/>
          <w:sz w:val="18"/>
          <w:szCs w:val="18"/>
          <w:lang w:eastAsia="fr-FR"/>
        </w:rPr>
        <w:t xml:space="preserve">Les loyers des logements sous loi </w:t>
      </w:r>
      <w:proofErr w:type="spellStart"/>
      <w:r w:rsidRPr="00511786">
        <w:rPr>
          <w:rFonts w:ascii="Georgia" w:eastAsia="Times New Roman" w:hAnsi="Georgia" w:cs="Arial"/>
          <w:color w:val="666666"/>
          <w:sz w:val="18"/>
          <w:szCs w:val="18"/>
          <w:lang w:eastAsia="fr-FR"/>
        </w:rPr>
        <w:t>Duflot</w:t>
      </w:r>
      <w:proofErr w:type="spellEnd"/>
      <w:r w:rsidRPr="00511786">
        <w:rPr>
          <w:rFonts w:ascii="Georgia" w:eastAsia="Times New Roman" w:hAnsi="Georgia" w:cs="Arial"/>
          <w:color w:val="666666"/>
          <w:sz w:val="18"/>
          <w:szCs w:val="18"/>
          <w:lang w:eastAsia="fr-FR"/>
        </w:rPr>
        <w:t xml:space="preserve"> sont plafonnés.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260FB9">
        <w:rPr>
          <w:rFonts w:ascii="Arial" w:eastAsia="Times New Roman" w:hAnsi="Arial" w:cs="Arial"/>
          <w:color w:val="373737"/>
          <w:sz w:val="28"/>
          <w:szCs w:val="28"/>
          <w:lang w:eastAsia="fr-FR"/>
        </w:rPr>
        <w:t>Le site </w:t>
      </w:r>
      <w:r w:rsidRPr="00260FB9">
        <w:rPr>
          <w:rFonts w:ascii="Arial" w:eastAsia="Times New Roman" w:hAnsi="Arial" w:cs="Arial"/>
          <w:b/>
          <w:bCs/>
          <w:color w:val="373737"/>
          <w:sz w:val="28"/>
          <w:szCs w:val="28"/>
          <w:u w:val="single"/>
          <w:bdr w:val="none" w:sz="0" w:space="0" w:color="auto" w:frame="1"/>
          <w:lang w:eastAsia="fr-FR"/>
        </w:rPr>
        <w:t>www.plafond-duflot.fr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 :</w:t>
      </w:r>
      <w:proofErr w:type="gramEnd"/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511786" w:rsidRDefault="00511786" w:rsidP="00511786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vous informe sur les avantages et conditions de la loi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</w:p>
    <w:p w:rsidR="00511786" w:rsidRPr="00511786" w:rsidRDefault="00511786" w:rsidP="00511786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vous informe sur les plafonds de loyers et de ressources appliqués à la loi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année après année et sur les modalités de calcul de ces derniers.</w:t>
      </w:r>
    </w:p>
    <w:p w:rsidR="00511786" w:rsidRDefault="00511786" w:rsidP="00511786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met à votre disposition des outils de calcul pour favoriser la recherche des zones et le calcul des loyers plafonds</w:t>
      </w:r>
    </w:p>
    <w:p w:rsidR="00260FB9" w:rsidRPr="00511786" w:rsidRDefault="00260FB9" w:rsidP="00260FB9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260FB9" w:rsidRDefault="00511786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</w:pPr>
      <w:bookmarkStart w:id="1" w:name="LoiDuflot"/>
      <w:bookmarkEnd w:id="1"/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lastRenderedPageBreak/>
        <w:t xml:space="preserve">Loi </w:t>
      </w:r>
      <w:proofErr w:type="spellStart"/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t>Duflot</w:t>
      </w:r>
      <w:proofErr w:type="spellEnd"/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La loi </w:t>
      </w:r>
      <w:proofErr w:type="spell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permet aux contribuables qui investissent dans un logement neuf destiné à la location, de profiter d’une </w:t>
      </w:r>
      <w:hyperlink r:id="rId10" w:tgtFrame="_blank" w:history="1"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>réduction</w:t>
        </w:r>
      </w:hyperlink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d’impôts sur le revenu de 18% du montant de l’investissement étalée sur 9 ans de manière linéaire. En contrepartie, le nouveau propriétaire sera dans l’obligation de respecter certaines conditions.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Exemple </w:t>
      </w:r>
      <w:proofErr w:type="gramStart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br/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Monsieur Dupont achète un bien immobilier de 42m² d’une valeur de 150 000 € à Bordeaux. Il bénéficie d’une réduction d’impôt de 150 000€ x 18% = 27 000 € sur 9 ans soit une réduction de 3000 € par an.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L’investissement doit être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:</w:t>
      </w: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br/>
      </w:r>
    </w:p>
    <w:p w:rsidR="00511786" w:rsidRPr="00511786" w:rsidRDefault="00511786" w:rsidP="00511786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effectué dans un logement neuf BBC ou RT 2012,</w:t>
      </w:r>
    </w:p>
    <w:p w:rsidR="00511786" w:rsidRPr="00511786" w:rsidRDefault="00511786" w:rsidP="00511786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limité à 2 investissements par foyer fiscal et à 300 000€ par an</w:t>
      </w:r>
    </w:p>
    <w:p w:rsidR="00511786" w:rsidRPr="00511786" w:rsidRDefault="00511786" w:rsidP="00511786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situé dans les zones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Abis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, A et B1 et B2 (suivant agrément ministériel)</w:t>
      </w:r>
    </w:p>
    <w:p w:rsidR="00511786" w:rsidRPr="00511786" w:rsidRDefault="00511786" w:rsidP="00511786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enfin, la réduction d’impôt se calcule sur le prix plafonné à 5500 € / le m²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 xml:space="preserve">La location d’un investissement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 xml:space="preserve"> doit être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: </w:t>
      </w: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br/>
      </w:r>
    </w:p>
    <w:p w:rsidR="00511786" w:rsidRP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nue (sans meuble),</w:t>
      </w:r>
    </w:p>
    <w:p w:rsidR="00511786" w:rsidRP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à titre d’habitation principale,</w:t>
      </w:r>
    </w:p>
    <w:p w:rsidR="00511786" w:rsidRP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pendant une durée de 9 ans minimum,</w:t>
      </w:r>
    </w:p>
    <w:p w:rsidR="00511786" w:rsidRP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dans les 12 mois qui suivent la livraison du logement,</w:t>
      </w:r>
    </w:p>
    <w:p w:rsidR="00511786" w:rsidRP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en se conférant aux plafonds de loyers et ressources fixés annuellement,</w:t>
      </w:r>
    </w:p>
    <w:p w:rsidR="00511786" w:rsidRDefault="00511786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en se conférant aux </w:t>
      </w:r>
      <w:hyperlink r:id="rId11" w:tgtFrame="_blank" w:history="1"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 xml:space="preserve">zones </w:t>
        </w:r>
        <w:proofErr w:type="spellStart"/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>Duflot</w:t>
        </w:r>
        <w:proofErr w:type="spellEnd"/>
      </w:hyperlink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.</w:t>
      </w:r>
    </w:p>
    <w:p w:rsidR="00260FB9" w:rsidRPr="00511786" w:rsidRDefault="00260FB9" w:rsidP="00511786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260FB9" w:rsidRDefault="00511786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</w:pPr>
      <w:bookmarkStart w:id="2" w:name="Plafondducalculfiscal"/>
      <w:bookmarkEnd w:id="2"/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t xml:space="preserve">Plafond du calcul fiscal </w:t>
      </w:r>
      <w:proofErr w:type="spellStart"/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t>Duflot</w:t>
      </w:r>
      <w:proofErr w:type="spellEnd"/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Le 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plafond du calcul fiscal </w:t>
      </w:r>
      <w:proofErr w:type="spell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 correspond au prix maximum d’achat du logement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utilisé dans le calcul de la réduction fiscale qui est fixé à 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5 500€/m²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Ce plafond est utilisé </w:t>
      </w: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uniquement pour le calcul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de la réduction d’impôt. La loi n’interdit pas d’investir dans un logement qui dépasse ce prix au mètre carré. Mais au-delà de ce seuil, seule la partie égale à 5 500€/m² bénéficiera de la réduction d’impôt.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Rappel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 : La loi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permet de bénéficier d’une réduction d’impôt de 18% du coût total d’acquisition sur 9 ans, pour un investissement maximal de 300 000€.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lastRenderedPageBreak/>
        <w:t> </w:t>
      </w: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Exemple 1 :</w:t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 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Monsieur Louis achète un appartement de 30m² à Paris à 175 000€, éligible en loi </w:t>
      </w:r>
      <w:proofErr w:type="spellStart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. La réduction d’impôt n’est pas de 31 500€ (= 0,18 x 175 000€) mais de 29 700€ (= 0,18 x 5 500€ x </w:t>
      </w:r>
      <w:proofErr w:type="gramStart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30m² )</w:t>
      </w:r>
      <w:proofErr w:type="gramEnd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 sur 9 ans.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Exemple 2 </w:t>
      </w:r>
      <w:proofErr w:type="gramStart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Monsieur Dupont vient d’acheter un logement </w:t>
      </w:r>
      <w:proofErr w:type="spellStart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 de 55m² à Bordeaux à 320 000€. La réduction d’impôt calculée sur 9 ans n’est pas de 57 600€ (= 0,18 x 320 000€) ni de 54 450€ (= 0,18 x 55m² x 5 500€/m²) mais bien de 54 000€ puisque la loi plafonne sont investissement à 300 000€. (0,18 x 5 500€ x </w:t>
      </w:r>
      <w:proofErr w:type="gramStart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25m² )</w:t>
      </w:r>
      <w:proofErr w:type="gramEnd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NOTRE CONSEIL :</w:t>
      </w:r>
    </w:p>
    <w:p w:rsidR="00511786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Le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 xml:space="preserve">plafond du calcul fiscal </w:t>
      </w:r>
      <w:proofErr w:type="spellStart"/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est 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u w:val="single"/>
          <w:bdr w:val="none" w:sz="0" w:space="0" w:color="auto" w:frame="1"/>
          <w:lang w:eastAsia="fr-FR"/>
        </w:rPr>
        <w:t>identique pour toutes les zones géographiques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dans lesquelles vous allez pouvoir </w:t>
      </w:r>
      <w:hyperlink r:id="rId12" w:history="1">
        <w:r w:rsidRPr="00511786">
          <w:rPr>
            <w:rFonts w:ascii="Arial" w:eastAsia="Times New Roman" w:hAnsi="Arial" w:cs="Arial"/>
            <w:i/>
            <w:iCs/>
            <w:color w:val="1982D1"/>
            <w:sz w:val="18"/>
            <w:szCs w:val="18"/>
            <w:u w:val="single"/>
            <w:bdr w:val="none" w:sz="0" w:space="0" w:color="auto" w:frame="1"/>
            <w:lang w:eastAsia="fr-FR"/>
          </w:rPr>
          <w:t>investir</w:t>
        </w:r>
      </w:hyperlink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. Préférez investir dans les zones éligibles où le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prix d’achat au mètre carré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est inférieur à 5 500€/m². Vous pourrez ainsi bénéficier d’une réduction d’impôt maximale (non plafonnée). La rentabilité de votre investissement n’en sera que meilleure !</w:t>
      </w:r>
    </w:p>
    <w:p w:rsidR="00260FB9" w:rsidRDefault="00260FB9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</w:p>
    <w:p w:rsidR="00260FB9" w:rsidRDefault="00260FB9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  <w:bookmarkStart w:id="3" w:name="Plafondsdeloyers"/>
      <w:bookmarkEnd w:id="3"/>
    </w:p>
    <w:p w:rsidR="00260FB9" w:rsidRDefault="00260FB9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</w:p>
    <w:p w:rsidR="00511786" w:rsidRDefault="00511786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</w:pPr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t xml:space="preserve">Plafonds de loyers </w:t>
      </w:r>
      <w:proofErr w:type="spellStart"/>
      <w:r w:rsidRPr="00260FB9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  <w:t>Duflot</w:t>
      </w:r>
      <w:proofErr w:type="spellEnd"/>
    </w:p>
    <w:p w:rsidR="00260FB9" w:rsidRPr="00260FB9" w:rsidRDefault="00260FB9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u w:val="single"/>
          <w:lang w:eastAsia="fr-FR"/>
        </w:rPr>
      </w:pP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Le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 plafond de loyers </w:t>
      </w:r>
      <w:proofErr w:type="spell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correspond au montant du loyer hors charge maximum autorisé dans le cadre d’un </w:t>
      </w:r>
      <w:hyperlink r:id="rId13" w:history="1"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 xml:space="preserve">investissement </w:t>
        </w:r>
        <w:proofErr w:type="spellStart"/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>Duflot</w:t>
        </w:r>
        <w:proofErr w:type="spellEnd"/>
      </w:hyperlink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. Il est calculé à partir de la </w:t>
      </w:r>
      <w:hyperlink r:id="rId14" w:tgtFrame="_blank" w:history="1"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 xml:space="preserve">surface pondérée </w:t>
        </w:r>
        <w:proofErr w:type="spellStart"/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>Duflot</w:t>
        </w:r>
        <w:proofErr w:type="spellEnd"/>
      </w:hyperlink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du logement, multiplié à un prix au m² fixé en fonction de la </w:t>
      </w:r>
      <w:hyperlink r:id="rId15" w:history="1">
        <w:r w:rsidRPr="00511786">
          <w:rPr>
            <w:rFonts w:ascii="Arial" w:eastAsia="Times New Roman" w:hAnsi="Arial" w:cs="Arial"/>
            <w:color w:val="1982D1"/>
            <w:sz w:val="20"/>
            <w:szCs w:val="20"/>
            <w:u w:val="single"/>
            <w:bdr w:val="none" w:sz="0" w:space="0" w:color="auto" w:frame="1"/>
            <w:lang w:eastAsia="fr-FR"/>
          </w:rPr>
          <w:t>zone</w:t>
        </w:r>
      </w:hyperlink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dans laquelle l’investissement est réalisé, et multiplié par un coefficient multiplicateur.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Default="00511786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  <w:r w:rsidRPr="00511786"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  <w:t>1/ LE CALCUL DE LA SURFACE PONDÉRÉE DUFLOT :</w:t>
      </w:r>
    </w:p>
    <w:p w:rsidR="00260FB9" w:rsidRPr="00511786" w:rsidRDefault="00260FB9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Le calcul de la surface pondérée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est égale à 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La surface habitable + la moitié de la surface des annexes.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Les surfaces annexes sont plafonnée à 8m² (cave, balcon, terrasse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) .</w:t>
      </w:r>
      <w:proofErr w:type="gramEnd"/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A savoir : le parking n’est pas considéré comme une annexe.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Exemple 1 </w:t>
      </w:r>
      <w:proofErr w:type="gram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Appartement situé à Lille de 40 m², avec 11 m² de terrasse et une cave 4 m² = 40 m² + (11 m² + 4 m²) / 2 = 47,50 m² (le plafond de la prise compte des annexes égal à 8m² n’est pas atteint).</w:t>
      </w: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lastRenderedPageBreak/>
        <w:t xml:space="preserve">Exemple 2 </w:t>
      </w:r>
      <w:proofErr w:type="gram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Appartement à Paris de 65m² avec 20m² de terrasse = 65m² + (20m²) / 2 =65m² + 8m² = 73m² (le plafond de la prise en compte des annexes est ici à prendre en compte. 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La moitié de la surface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des annexes (égale à 10m²) dépasse le plafond qui ne peut excéder 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8 m²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. Il faudra prendre la valeur de 8m² dans le calcul final).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Default="00511786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  <w:r w:rsidRPr="00511786"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  <w:t>2/ LE PRIX AU MÈTRE CARRÉ FONCTION DES ZONES DUFLOT :</w:t>
      </w:r>
    </w:p>
    <w:p w:rsidR="00260FB9" w:rsidRPr="00511786" w:rsidRDefault="00260FB9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Il faut multiplier la surface pondérée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  par le prix au m² correspondant à la zone de l’investissement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Tableau du plafonnement de loyer par zone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noProof/>
          <w:color w:val="373737"/>
          <w:sz w:val="20"/>
          <w:szCs w:val="20"/>
          <w:lang w:eastAsia="fr-FR"/>
        </w:rPr>
        <w:drawing>
          <wp:inline distT="0" distB="0" distL="0" distR="0">
            <wp:extent cx="5961380" cy="1128395"/>
            <wp:effectExtent l="0" t="0" r="1270" b="0"/>
            <wp:docPr id="3" name="Image 3" descr="tabl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a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Pour les logements situés dans une collectivité territoriale d’Outre-Mer, éligibles à la réduction d’impôt, le plafond de loyer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est celui de la zone B1, soit 9.88 €/m².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br/>
      </w: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A savoir :</w:t>
      </w:r>
    </w:p>
    <w:p w:rsidR="00511786" w:rsidRPr="00511786" w:rsidRDefault="00511786" w:rsidP="00511786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La ministre du logement Cécile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a voulu un dispositif mobile proche de la réalité du marché, ainsi les zones et les niveaux de plafond évolueront chaque année. Pensez à vérifier ces informations sur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sur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plafond-duflot.fr.</w:t>
      </w:r>
    </w:p>
    <w:p w:rsidR="00511786" w:rsidRPr="00511786" w:rsidRDefault="00511786" w:rsidP="00511786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Enfin, c’est bien la date d’acte qui fait foi pour figer les zones et les montants des plafonds.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Exemple 1 </w:t>
      </w:r>
      <w:proofErr w:type="gram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Lille est en zone B1 donc : 47,50m² x 9,88 €/m² = 469,30 €</w:t>
      </w: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Exemple 2 </w:t>
      </w:r>
      <w:proofErr w:type="gramStart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br/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Paris est en zone </w:t>
      </w:r>
      <w:proofErr w:type="spellStart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Abis</w:t>
      </w:r>
      <w:proofErr w:type="spellEnd"/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 xml:space="preserve"> donc : 73m² x 16,52€/m² = 1 205,96 €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</w:pP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Default="00260FB9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</w:p>
    <w:p w:rsidR="00260FB9" w:rsidRDefault="00260FB9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</w:p>
    <w:p w:rsidR="00511786" w:rsidRDefault="00511786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  <w:r w:rsidRPr="00511786"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  <w:lastRenderedPageBreak/>
        <w:t>3/ LE COEFFICIENT MULTIPLICATEUR AMÉLIORE LE LOYER POUR LES PETITES SURFACES MAIS LE RÉDUIT POUR LES GRANDES !</w:t>
      </w:r>
    </w:p>
    <w:p w:rsidR="00260FB9" w:rsidRPr="00511786" w:rsidRDefault="00260FB9" w:rsidP="00511786">
      <w:pPr>
        <w:shd w:val="clear" w:color="auto" w:fill="FFFFFF"/>
        <w:spacing w:after="0" w:line="45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smallCaps/>
          <w:color w:val="19336E"/>
          <w:spacing w:val="24"/>
          <w:sz w:val="24"/>
          <w:szCs w:val="24"/>
          <w:lang w:eastAsia="fr-FR"/>
        </w:rPr>
      </w:pPr>
      <w:bookmarkStart w:id="4" w:name="_GoBack"/>
      <w:bookmarkEnd w:id="4"/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Il s’agit de calculer le coefficient multiplicateur puis de le multiplier par le loyer référence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Formule du coefficient multiplicateur : 0,7 + (19/surface pondérée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)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Ce coefficient peut être compris entre 0,7 et une valeur plafond fixée à 1,2 (par la loi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). Ce coefficient tient compte de la superficie du logement et va donc majorer le loyer des petits logements et minorer celui des grands.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Ainsi :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&gt; Si le coefficient est supérieur à 1 mais inférieur à 1,2 (valeur plafond) : il bonifie le loyer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&gt; Si le coefficient est inférieur à 1 : il diminue le loyer</w:t>
      </w: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u w:val="single"/>
          <w:bdr w:val="none" w:sz="0" w:space="0" w:color="auto" w:frame="1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br/>
      </w: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A savoir :</w:t>
      </w: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511786" w:rsidRDefault="00511786" w:rsidP="00511786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Pour les logements dont la surface est inférieure ou égale à 38m², les plafonds des loyers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sont majorés de 20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% .</w:t>
      </w:r>
      <w:proofErr w:type="gramEnd"/>
    </w:p>
    <w:p w:rsidR="00511786" w:rsidRPr="00511786" w:rsidRDefault="00511786" w:rsidP="00511786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Pour les logements dont la surface est comprise entre 39m² et 63m², les plafonds de loyers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sont majorés de 0% à 19% selon la surface.</w:t>
      </w:r>
    </w:p>
    <w:p w:rsidR="00511786" w:rsidRPr="00511786" w:rsidRDefault="00511786" w:rsidP="00511786">
      <w:pPr>
        <w:numPr>
          <w:ilvl w:val="0"/>
          <w:numId w:val="5"/>
        </w:numPr>
        <w:shd w:val="clear" w:color="auto" w:fill="FFFFFF"/>
        <w:spacing w:after="0" w:line="345" w:lineRule="atLeast"/>
        <w:ind w:left="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Pour les logements d’une surface supérieure à 63m², les plafonds de loyers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sont diminués selon un coefficient qui varie entre 0.7 et 0.9.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 xml:space="preserve">Exemple 1 </w:t>
      </w:r>
      <w:proofErr w:type="gram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Le coefficient multiplicateur vaut : 0,7 + 19/47,50 = 1,10 Le loyer plafond définitif est donc de : 1,10 x 469,30€ = 516,23 € Ce loyer est exprimé Hors Charges (HC).</w:t>
      </w:r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Exemple 2 :</w:t>
      </w:r>
      <w:proofErr w:type="gramStart"/>
      <w:r w:rsidRPr="00511786">
        <w:rPr>
          <w:rFonts w:ascii="Arial" w:eastAsia="Times New Roman" w:hAnsi="Arial" w:cs="Arial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  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  <w:t>Le coefficient multiplicateur vaut : 0,7 + 19/73 = 0,96 Le loyer plafond définitif est donc de : 0,96 x 1 205,96€ = 1 157,72 € Ce loyer est exprimé Hors Charges (HC).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NOTRE CONSEIL :</w:t>
      </w:r>
    </w:p>
    <w:p w:rsidR="00260FB9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Les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 xml:space="preserve">plafonds de loyers </w:t>
      </w:r>
      <w:proofErr w:type="spellStart"/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dépendent, quant à eux, de la zone géographique dans laquelle vous allez investir. Privilégiez les villes où le plafond de loyer </w:t>
      </w:r>
      <w:proofErr w:type="spellStart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correspond au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prix du marché locatif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>. Ceci vous permettra de vous affranchir de ce seuil légal et de maximiser vos revenus locatifs. Encore une fois, la rentabilité de votre investis</w:t>
      </w:r>
      <w:r w:rsidR="00260FB9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sement n’en sera que meilleure </w:t>
      </w:r>
    </w:p>
    <w:p w:rsidR="00260FB9" w:rsidRDefault="00260FB9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</w:p>
    <w:p w:rsidR="00260FB9" w:rsidRDefault="00260FB9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</w:p>
    <w:p w:rsidR="00260FB9" w:rsidRPr="00511786" w:rsidRDefault="00260FB9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</w:p>
    <w:p w:rsidR="00260FB9" w:rsidRDefault="00260FB9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lang w:eastAsia="fr-FR"/>
        </w:rPr>
      </w:pPr>
      <w:bookmarkStart w:id="5" w:name="Plafondsderessources"/>
      <w:bookmarkEnd w:id="5"/>
    </w:p>
    <w:p w:rsidR="00260FB9" w:rsidRDefault="00260FB9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lang w:eastAsia="fr-FR"/>
        </w:rPr>
      </w:pPr>
    </w:p>
    <w:p w:rsidR="00511786" w:rsidRPr="00511786" w:rsidRDefault="00511786" w:rsidP="00511786">
      <w:pPr>
        <w:pBdr>
          <w:bottom w:val="dotted" w:sz="6" w:space="4" w:color="CCCCCC"/>
        </w:pBdr>
        <w:shd w:val="clear" w:color="auto" w:fill="FFFFFF"/>
        <w:spacing w:after="195" w:line="450" w:lineRule="atLeast"/>
        <w:textAlignment w:val="baseline"/>
        <w:outlineLvl w:val="1"/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lang w:eastAsia="fr-FR"/>
        </w:rPr>
      </w:pPr>
      <w:r w:rsidRPr="00511786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lang w:eastAsia="fr-FR"/>
        </w:rPr>
        <w:lastRenderedPageBreak/>
        <w:t xml:space="preserve">Plafonds de ressources des locataires de la loi </w:t>
      </w:r>
      <w:proofErr w:type="spellStart"/>
      <w:r w:rsidRPr="00511786">
        <w:rPr>
          <w:rFonts w:ascii="Arial" w:eastAsia="Times New Roman" w:hAnsi="Arial" w:cs="Arial"/>
          <w:b/>
          <w:bCs/>
          <w:smallCaps/>
          <w:color w:val="19336E"/>
          <w:sz w:val="38"/>
          <w:szCs w:val="38"/>
          <w:lang w:eastAsia="fr-FR"/>
        </w:rPr>
        <w:t>Duflot</w:t>
      </w:r>
      <w:proofErr w:type="spellEnd"/>
    </w:p>
    <w:p w:rsid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Les </w:t>
      </w: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t>plafonds de ressources des locataires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 correspondent aux revenus maximum que peuvent déclarer les locataires d’un investissement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. Ils sont fixés annuellement par décret, dépendent des zones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et correspondent au revenu fiscal de référence de l’année N-2 du foyer fiscal des signataires du bail de location.</w:t>
      </w:r>
    </w:p>
    <w:p w:rsidR="00260FB9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260FB9" w:rsidRPr="00511786" w:rsidRDefault="00260FB9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Tableau du plafonnement des ressources des locataires 2013</w:t>
      </w:r>
      <w:r>
        <w:rPr>
          <w:rFonts w:ascii="Arial" w:eastAsia="Times New Roman" w:hAnsi="Arial" w:cs="Arial"/>
          <w:b/>
          <w:bCs/>
          <w:noProof/>
          <w:color w:val="373737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5403215" cy="4940300"/>
            <wp:effectExtent l="0" t="0" r="6985" b="0"/>
            <wp:docPr id="2" name="Image 2" descr="imag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 xml:space="preserve">A savoir </w:t>
      </w:r>
      <w:proofErr w:type="gramStart"/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u w:val="single"/>
          <w:bdr w:val="none" w:sz="0" w:space="0" w:color="auto" w:frame="1"/>
          <w:lang w:eastAsia="fr-FR"/>
        </w:rPr>
        <w:t>: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 w:rsidRPr="00511786">
        <w:rPr>
          <w:rFonts w:ascii="Arial" w:eastAsia="Times New Roman" w:hAnsi="Arial" w:cs="Arial"/>
          <w:i/>
          <w:iCs/>
          <w:color w:val="373737"/>
          <w:sz w:val="20"/>
          <w:szCs w:val="20"/>
          <w:bdr w:val="none" w:sz="0" w:space="0" w:color="auto" w:frame="1"/>
          <w:lang w:eastAsia="fr-FR"/>
        </w:rPr>
        <w:t>Les revenus retenus pour le plafond sont les revenus fiscaux de référence de l’année N-2 des signataires du bail de location.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 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fr-FR"/>
        </w:rPr>
        <w:lastRenderedPageBreak/>
        <w:t>Exemple :</w:t>
      </w: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br/>
      </w:r>
      <w:r>
        <w:rPr>
          <w:rFonts w:ascii="Arial" w:eastAsia="Times New Roman" w:hAnsi="Arial" w:cs="Arial"/>
          <w:noProof/>
          <w:color w:val="1982D1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5557520" cy="7873365"/>
            <wp:effectExtent l="0" t="0" r="5080" b="0"/>
            <wp:docPr id="1" name="Image 1" descr="revenu fiscal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enu fiscal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Jeune couple vivant à Toulouse avec un enfant à charge ayant un revenu imposable de 42 030 €. Les revenus imposables ne dépassent pas </w:t>
      </w:r>
      <w:proofErr w:type="gram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la</w:t>
      </w:r>
      <w:proofErr w:type="gram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 xml:space="preserve"> plafond autorisé de 47 780 € (Toulouse étant en zone B1). Cette famille est par conséquent éligible à la location d’un logement </w:t>
      </w:r>
      <w:proofErr w:type="spellStart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t>.</w:t>
      </w:r>
    </w:p>
    <w:p w:rsidR="00511786" w:rsidRPr="00511786" w:rsidRDefault="00511786" w:rsidP="0051178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fr-FR"/>
        </w:rPr>
      </w:pPr>
      <w:r w:rsidRPr="00511786">
        <w:rPr>
          <w:rFonts w:ascii="Arial" w:eastAsia="Times New Roman" w:hAnsi="Arial" w:cs="Arial"/>
          <w:color w:val="373737"/>
          <w:sz w:val="20"/>
          <w:szCs w:val="20"/>
          <w:lang w:eastAsia="fr-FR"/>
        </w:rPr>
        <w:lastRenderedPageBreak/>
        <w:t> </w:t>
      </w:r>
    </w:p>
    <w:p w:rsidR="00511786" w:rsidRPr="00511786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</w:pP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NOTRE CONSEIL :</w:t>
      </w:r>
    </w:p>
    <w:p w:rsidR="00511786" w:rsidRPr="00511786" w:rsidRDefault="00511786" w:rsidP="00511786">
      <w:pPr>
        <w:shd w:val="clear" w:color="auto" w:fill="E5E5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</w:pP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Voici le seul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plafond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de la loi </w:t>
      </w:r>
      <w:proofErr w:type="spellStart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>Duflot</w:t>
      </w:r>
      <w:proofErr w:type="spellEnd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sur lequel, en tant que propriétaire investisseur, vous n’avez que peu d’influence. La loi a fixé ces seuils pour permettre aux familles aux revenus intermédiaires, non éligibles à des logements sociaux, de pouvoir accéder à un logement de qualité. Rassurez-vous cependant, ces valeurs plafonds ne sont que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peu contraignantes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. Comme dans tout achat immobilier locatif, </w:t>
      </w:r>
      <w:r w:rsidRPr="00511786">
        <w:rPr>
          <w:rFonts w:ascii="Arial" w:eastAsia="Times New Roman" w:hAnsi="Arial" w:cs="Arial"/>
          <w:b/>
          <w:bCs/>
          <w:i/>
          <w:iCs/>
          <w:color w:val="184070"/>
          <w:sz w:val="18"/>
          <w:szCs w:val="18"/>
          <w:bdr w:val="none" w:sz="0" w:space="0" w:color="auto" w:frame="1"/>
          <w:lang w:eastAsia="fr-FR"/>
        </w:rPr>
        <w:t>restez vigilants</w:t>
      </w:r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dans la sélection du locataire (personne avec garants, etc.) et des gestionnaires de biens (garantie contre le </w:t>
      </w:r>
      <w:proofErr w:type="spellStart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>non paiement</w:t>
      </w:r>
      <w:proofErr w:type="spellEnd"/>
      <w:r w:rsidRPr="00511786">
        <w:rPr>
          <w:rFonts w:ascii="Arial" w:eastAsia="Times New Roman" w:hAnsi="Arial" w:cs="Arial"/>
          <w:i/>
          <w:iCs/>
          <w:color w:val="184070"/>
          <w:sz w:val="18"/>
          <w:szCs w:val="18"/>
          <w:lang w:eastAsia="fr-FR"/>
        </w:rPr>
        <w:t xml:space="preserve"> des loyers, etc.).</w:t>
      </w:r>
    </w:p>
    <w:p w:rsidR="00831C00" w:rsidRDefault="00831C00"/>
    <w:sectPr w:rsidR="0083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18"/>
    <w:multiLevelType w:val="multilevel"/>
    <w:tmpl w:val="E2241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223D"/>
    <w:multiLevelType w:val="multilevel"/>
    <w:tmpl w:val="77F68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14C9B"/>
    <w:multiLevelType w:val="multilevel"/>
    <w:tmpl w:val="56709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96C77"/>
    <w:multiLevelType w:val="multilevel"/>
    <w:tmpl w:val="A036A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C59C6"/>
    <w:multiLevelType w:val="multilevel"/>
    <w:tmpl w:val="8B16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86"/>
    <w:rsid w:val="00260FB9"/>
    <w:rsid w:val="00511786"/>
    <w:rsid w:val="008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1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7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17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17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17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11786"/>
  </w:style>
  <w:style w:type="character" w:styleId="lev">
    <w:name w:val="Strong"/>
    <w:basedOn w:val="Policepardfaut"/>
    <w:uiPriority w:val="22"/>
    <w:qFormat/>
    <w:rsid w:val="00511786"/>
    <w:rPr>
      <w:b/>
      <w:bCs/>
    </w:rPr>
  </w:style>
  <w:style w:type="paragraph" w:customStyle="1" w:styleId="wp-caption-text">
    <w:name w:val="wp-caption-text"/>
    <w:basedOn w:val="Normal"/>
    <w:rsid w:val="005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11786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17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1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11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7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117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17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17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11786"/>
  </w:style>
  <w:style w:type="character" w:styleId="lev">
    <w:name w:val="Strong"/>
    <w:basedOn w:val="Policepardfaut"/>
    <w:uiPriority w:val="22"/>
    <w:qFormat/>
    <w:rsid w:val="00511786"/>
    <w:rPr>
      <w:b/>
      <w:bCs/>
    </w:rPr>
  </w:style>
  <w:style w:type="paragraph" w:customStyle="1" w:styleId="wp-caption-text">
    <w:name w:val="wp-caption-text"/>
    <w:basedOn w:val="Normal"/>
    <w:rsid w:val="005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11786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1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17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2095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fond-duflot.fr/wp/wp-content/uploads/386409-biggest.jpg" TargetMode="External"/><Relationship Id="rId13" Type="http://schemas.openxmlformats.org/officeDocument/2006/relationships/hyperlink" Target="http://www.loi-duflot.fr/definition-de-la-loi-duflot/" TargetMode="External"/><Relationship Id="rId18" Type="http://schemas.openxmlformats.org/officeDocument/2006/relationships/hyperlink" Target="http://www.plafond-duflot.fr/wp/wp-content/uploads/revenu-fiscal2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porting-promotion.fr/programme/" TargetMode="External"/><Relationship Id="rId12" Type="http://schemas.openxmlformats.org/officeDocument/2006/relationships/hyperlink" Target="http://www.investir-duflot.fr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GuideLoiDuflot" TargetMode="External"/><Relationship Id="rId11" Type="http://schemas.openxmlformats.org/officeDocument/2006/relationships/hyperlink" Target="http://www.zone-duflot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ne-duflot.fr/" TargetMode="External"/><Relationship Id="rId10" Type="http://schemas.openxmlformats.org/officeDocument/2006/relationships/hyperlink" Target="http://www.legifrance.gouv.fr/affichCode.do;jsessionid=AF700223C1F412043F7533BEB47A1CFD.tpdjo05v_1?idSectionTA=LEGISCTA000022508683&amp;cidTexte=LEGITEXT000006069577&amp;date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roit-finances.commentcamarche.net/faq/2793-loi-scellier-surface-habitable-et-calcul-du-plafond-de-loy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2013-11-29T10:40:00Z</dcterms:created>
  <dcterms:modified xsi:type="dcterms:W3CDTF">2013-11-29T10:40:00Z</dcterms:modified>
</cp:coreProperties>
</file>